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47" w:rsidRPr="00F55212" w:rsidRDefault="00926C47" w:rsidP="00926C47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F55212">
        <w:rPr>
          <w:rFonts w:ascii="Comic Sans MS" w:hAnsi="Comic Sans MS" w:cs="Arial"/>
          <w:caps/>
          <w:sz w:val="32"/>
          <w:szCs w:val="32"/>
        </w:rPr>
        <w:t>CONTRAT D'ASSURANCE</w:t>
      </w:r>
    </w:p>
    <w:p w:rsidR="00926C47" w:rsidRPr="00C17ADD" w:rsidRDefault="00926C47" w:rsidP="00926C47">
      <w:pPr>
        <w:rPr>
          <w:rFonts w:ascii="Arial" w:hAnsi="Arial" w:cs="Arial"/>
        </w:rPr>
      </w:pPr>
    </w:p>
    <w:p w:rsidR="00926C47" w:rsidRDefault="00926C47" w:rsidP="00926C47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 w:rsidR="00F55212">
        <w:rPr>
          <w:rFonts w:ascii="Arial" w:hAnsi="Arial" w:cs="Arial"/>
          <w:i/>
          <w:color w:val="008000"/>
        </w:rPr>
        <w:t>É</w:t>
      </w:r>
      <w:r>
        <w:rPr>
          <w:rFonts w:ascii="Arial" w:hAnsi="Arial" w:cs="Arial"/>
          <w:i/>
          <w:color w:val="008000"/>
        </w:rPr>
        <w:t xml:space="preserve">tude d'un exemple de </w:t>
      </w:r>
      <w:r w:rsidR="00F55212">
        <w:rPr>
          <w:rFonts w:ascii="Arial" w:hAnsi="Arial" w:cs="Arial"/>
          <w:i/>
          <w:color w:val="008000"/>
        </w:rPr>
        <w:t>chaîne de Markov</w:t>
      </w:r>
      <w:r>
        <w:rPr>
          <w:rFonts w:ascii="Arial" w:hAnsi="Arial" w:cs="Arial"/>
          <w:i/>
          <w:color w:val="008000"/>
        </w:rPr>
        <w:t>.</w:t>
      </w:r>
    </w:p>
    <w:p w:rsidR="00926C47" w:rsidRDefault="00926C47" w:rsidP="00926C47">
      <w:pPr>
        <w:rPr>
          <w:rFonts w:ascii="Arial" w:hAnsi="Arial" w:cs="Arial"/>
          <w:i/>
          <w:color w:val="008000"/>
        </w:rPr>
      </w:pPr>
    </w:p>
    <w:p w:rsidR="00926C47" w:rsidRDefault="00926C47" w:rsidP="00926C47">
      <w:pPr>
        <w:rPr>
          <w:b/>
        </w:rPr>
      </w:pPr>
      <w:bookmarkStart w:id="0" w:name="_GoBack"/>
      <w:bookmarkEnd w:id="0"/>
    </w:p>
    <w:p w:rsidR="00926C47" w:rsidRPr="00C76B3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/>
        </w:rPr>
      </w:pPr>
      <w:r>
        <w:rPr>
          <w:rFonts w:ascii="Arial" w:hAnsi="Arial"/>
        </w:rPr>
        <w:t>Une assurance automobile propose à ses clients un contrat dont les tarifs dépendent des accidents déclarés et responsables. Il existe trois catégories de tarifs :</w:t>
      </w:r>
      <w:r>
        <w:rPr>
          <w:rFonts w:ascii="Arial" w:hAnsi="Arial" w:cs="Arial"/>
          <w:szCs w:val="12"/>
        </w:rPr>
        <w:t xml:space="preserve"> Bas, Intermédiaire et Haut.</w:t>
      </w: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La réglementation est la suivante :</w:t>
      </w:r>
    </w:p>
    <w:p w:rsidR="00926C47" w:rsidRDefault="00926C47" w:rsidP="00926C47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La première année, l'assuré paie le tarif Intermédiaire.</w:t>
      </w:r>
    </w:p>
    <w:p w:rsidR="00926C47" w:rsidRDefault="00926C47" w:rsidP="00926C47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Sans accident déclaré pendant une année, il passe au tarif inférieur (sauf dans le cas où il est déjà au tarif le plus bas).</w:t>
      </w:r>
    </w:p>
    <w:p w:rsidR="00926C47" w:rsidRDefault="00926C47" w:rsidP="00926C47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Si l'assuré déclare au moins un accident responsable durant une année, il passe au tarif supérieur (sauf dans le cas où il est déjà au tarif le plus haut).</w:t>
      </w: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left="720" w:right="222"/>
        <w:rPr>
          <w:rFonts w:ascii="Arial" w:hAnsi="Arial" w:cs="Arial"/>
          <w:szCs w:val="12"/>
        </w:rPr>
      </w:pP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Une étude récente réalisée par l'assurance montre qu'un assuré pris au hasard a une probabilité de 10% d'être responsable d'au moins un accident au cours d'une année.</w:t>
      </w: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1) Le graphe probabiliste ci-dessous traduit l'évolution du tarif payé par un assuré pris au hasard. Compléter ce graphe par les probabilités de passer d'un tarif à l'autre.</w:t>
      </w:r>
    </w:p>
    <w:p w:rsidR="00926C47" w:rsidRPr="00C76B37" w:rsidRDefault="00926C47" w:rsidP="00926C47">
      <w:pPr>
        <w:tabs>
          <w:tab w:val="left" w:pos="142"/>
          <w:tab w:val="left" w:pos="284"/>
          <w:tab w:val="left" w:pos="426"/>
        </w:tabs>
        <w:ind w:left="720" w:right="222"/>
        <w:rPr>
          <w:rFonts w:ascii="Arial" w:hAnsi="Arial" w:cs="Arial"/>
          <w:sz w:val="16"/>
          <w:szCs w:val="12"/>
        </w:rPr>
      </w:pPr>
    </w:p>
    <w:p w:rsidR="00926C47" w:rsidRDefault="00850A78" w:rsidP="00926C47">
      <w:pPr>
        <w:tabs>
          <w:tab w:val="left" w:pos="142"/>
          <w:tab w:val="left" w:pos="284"/>
          <w:tab w:val="left" w:pos="426"/>
        </w:tabs>
        <w:ind w:right="222"/>
        <w:jc w:val="center"/>
        <w:rPr>
          <w:rFonts w:ascii="Arial" w:hAnsi="Arial" w:cs="Arial"/>
          <w:szCs w:val="12"/>
        </w:rPr>
      </w:pPr>
      <w:r w:rsidRPr="005310D9">
        <w:rPr>
          <w:rFonts w:ascii="Arial" w:hAnsi="Arial" w:cs="Arial"/>
          <w:noProof/>
          <w:szCs w:val="12"/>
        </w:rPr>
        <w:drawing>
          <wp:inline distT="0" distB="0" distL="0" distR="0">
            <wp:extent cx="4652010" cy="1122680"/>
            <wp:effectExtent l="0" t="0" r="0" b="0"/>
            <wp:docPr id="1" name="Image 1" descr="Capture d’écran 2013-04-15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4-15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2) On note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b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i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h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 les probabilités qu'un assuré pris au hasard l'année </w:t>
      </w:r>
      <w:r w:rsidRPr="006F6DAC">
        <w:rPr>
          <w:rFonts w:cs="Arial"/>
          <w:i/>
          <w:szCs w:val="12"/>
        </w:rPr>
        <w:t>n</w:t>
      </w:r>
      <w:r>
        <w:rPr>
          <w:rFonts w:ascii="Arial" w:hAnsi="Arial" w:cs="Arial"/>
          <w:szCs w:val="12"/>
        </w:rPr>
        <w:t xml:space="preserve"> soit respectivement au tarif Bas, Intermédiaire et Haut. Construire un arbre de probabilité résumant les probabilités de transition de l'année </w:t>
      </w:r>
      <m:oMath>
        <m:r>
          <w:rPr>
            <w:rFonts w:ascii="Cambria Math" w:hAnsi="Cambria Math" w:cs="Arial"/>
            <w:szCs w:val="12"/>
          </w:rPr>
          <m:t>n</m:t>
        </m:r>
      </m:oMath>
      <w:r>
        <w:rPr>
          <w:rFonts w:ascii="Arial" w:hAnsi="Arial" w:cs="Arial"/>
          <w:szCs w:val="12"/>
        </w:rPr>
        <w:t xml:space="preserve"> à l'année </w:t>
      </w:r>
      <m:oMath>
        <m:r>
          <w:rPr>
            <w:rFonts w:ascii="Cambria Math" w:hAnsi="Cambria Math" w:cs="Arial"/>
            <w:szCs w:val="12"/>
          </w:rPr>
          <m:t>n+1</m:t>
        </m:r>
      </m:oMath>
      <w:r>
        <w:rPr>
          <w:rFonts w:ascii="Arial" w:hAnsi="Arial" w:cs="Arial"/>
          <w:szCs w:val="12"/>
        </w:rPr>
        <w:t>.</w:t>
      </w: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left="720" w:right="222"/>
        <w:rPr>
          <w:rFonts w:ascii="Arial" w:hAnsi="Arial" w:cs="Arial"/>
          <w:szCs w:val="12"/>
        </w:rPr>
      </w:pP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3) On note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P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  <m:r>
          <w:rPr>
            <w:rFonts w:ascii="Cambria Math" w:hAnsi="Cambria Math" w:cs="Arial"/>
            <w:szCs w:val="1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1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1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2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1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2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1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2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  <w:szCs w:val="12"/>
        </w:rPr>
        <w:t xml:space="preserve"> la matrice ligne des probabilités après l'année </w:t>
      </w:r>
      <m:oMath>
        <m:r>
          <w:rPr>
            <w:rFonts w:ascii="Cambria Math" w:hAnsi="Cambria Math" w:cs="Arial"/>
            <w:szCs w:val="12"/>
          </w:rPr>
          <m:t>n</m:t>
        </m:r>
      </m:oMath>
      <w:r>
        <w:rPr>
          <w:rFonts w:ascii="Arial" w:hAnsi="Arial" w:cs="Arial"/>
          <w:szCs w:val="12"/>
        </w:rPr>
        <w:t xml:space="preserve">. </w:t>
      </w: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Déterminer la matrice de transition </w:t>
      </w:r>
      <m:oMath>
        <m:r>
          <w:rPr>
            <w:rFonts w:ascii="Cambria Math" w:hAnsi="Cambria Math" w:cs="Arial"/>
            <w:szCs w:val="12"/>
          </w:rPr>
          <m:t>T</m:t>
        </m:r>
      </m:oMath>
      <w:r>
        <w:rPr>
          <w:rFonts w:ascii="Arial" w:hAnsi="Arial" w:cs="Arial"/>
          <w:szCs w:val="12"/>
        </w:rPr>
        <w:t xml:space="preserve"> tel que :</w:t>
      </w:r>
      <w:r w:rsidR="00F55212">
        <w:rPr>
          <w:rFonts w:ascii="Arial" w:hAnsi="Arial" w:cs="Arial"/>
          <w:szCs w:val="1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P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  <m:r>
              <w:rPr>
                <w:rFonts w:ascii="Cambria Math" w:hAnsi="Cambria Math" w:cs="Arial"/>
                <w:szCs w:val="12"/>
              </w:rPr>
              <m:t>+1</m:t>
            </m:r>
          </m:sub>
        </m:sSub>
        <m:r>
          <w:rPr>
            <w:rFonts w:ascii="Cambria Math" w:hAnsi="Cambria Math" w:cs="Arial"/>
            <w:szCs w:val="12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P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  <m:r>
          <w:rPr>
            <w:rFonts w:ascii="Cambria Math" w:hAnsi="Cambria Math" w:cs="Arial"/>
            <w:szCs w:val="12"/>
          </w:rPr>
          <m:t>×T</m:t>
        </m:r>
      </m:oMath>
      <w:r w:rsidRPr="00882917">
        <w:rPr>
          <w:rFonts w:ascii="Arial" w:hAnsi="Arial" w:cs="Arial"/>
          <w:szCs w:val="12"/>
        </w:rPr>
        <w:t>.</w:t>
      </w:r>
    </w:p>
    <w:p w:rsidR="00926C47" w:rsidRPr="0088291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4) En admettant la convergence de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P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, déterminer la matrice limite </w:t>
      </w:r>
      <m:oMath>
        <m:r>
          <w:rPr>
            <w:rFonts w:ascii="Cambria Math" w:hAnsi="Cambria Math" w:cs="Arial"/>
            <w:szCs w:val="12"/>
          </w:rPr>
          <m:t>P=</m:t>
        </m:r>
        <m:d>
          <m:dPr>
            <m:ctrlPr>
              <w:rPr>
                <w:rFonts w:ascii="Cambria Math" w:hAnsi="Cambria Math" w:cs="Arial"/>
                <w:i/>
                <w:szCs w:val="1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12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  <w:szCs w:val="12"/>
                    </w:rPr>
                    <m:t>i</m:t>
                  </m:r>
                </m:e>
                <m:e>
                  <m:r>
                    <w:rPr>
                      <w:rFonts w:ascii="Cambria Math" w:hAnsi="Cambria Math" w:cs="Arial"/>
                      <w:szCs w:val="12"/>
                    </w:rPr>
                    <m:t>h</m:t>
                  </m:r>
                </m:e>
              </m:mr>
            </m:m>
          </m:e>
        </m:d>
      </m:oMath>
      <w:r>
        <w:rPr>
          <w:rFonts w:ascii="Arial" w:hAnsi="Arial" w:cs="Arial"/>
          <w:szCs w:val="12"/>
        </w:rPr>
        <w:t xml:space="preserve"> définissant l'état stable et en déduire quelle sera à long terme la répartition des assurés entre les trois catégories de tarif.</w:t>
      </w:r>
    </w:p>
    <w:p w:rsidR="00926C47" w:rsidRDefault="00926C47" w:rsidP="00926C4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 w:rsidRPr="004515AB">
        <w:rPr>
          <w:rFonts w:ascii="Arial" w:hAnsi="Arial" w:cs="Arial"/>
          <w:i/>
          <w:szCs w:val="12"/>
          <w:u w:val="single"/>
        </w:rPr>
        <w:t>Aide :</w:t>
      </w:r>
      <w:r>
        <w:rPr>
          <w:rFonts w:ascii="Arial" w:hAnsi="Arial" w:cs="Arial"/>
          <w:szCs w:val="12"/>
        </w:rPr>
        <w:t xml:space="preserve"> On rappelle que :</w:t>
      </w:r>
      <w:r w:rsidR="00F55212">
        <w:rPr>
          <w:rFonts w:ascii="Arial" w:hAnsi="Arial" w:cs="Arial"/>
          <w:szCs w:val="12"/>
        </w:rPr>
        <w:t xml:space="preserve"> </w:t>
      </w:r>
      <m:oMath>
        <m:r>
          <w:rPr>
            <w:rFonts w:ascii="Cambria Math" w:hAnsi="Cambria Math" w:cs="Arial"/>
            <w:szCs w:val="12"/>
          </w:rPr>
          <m:t>b+i+h=</m:t>
        </m:r>
        <m:r>
          <w:rPr>
            <w:rFonts w:ascii="Cambria Math" w:hAnsi="Cambria Math" w:cs="Arial"/>
            <w:szCs w:val="12"/>
          </w:rPr>
          <m:t>1</m:t>
        </m:r>
      </m:oMath>
      <w:r>
        <w:rPr>
          <w:rFonts w:ascii="Arial" w:hAnsi="Arial" w:cs="Arial"/>
          <w:szCs w:val="12"/>
        </w:rPr>
        <w:t>.</w:t>
      </w:r>
    </w:p>
    <w:p w:rsidR="00926C47" w:rsidRDefault="00926C47" w:rsidP="00926C47">
      <w:pPr>
        <w:tabs>
          <w:tab w:val="left" w:pos="42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6C47" w:rsidRPr="00B049C3" w:rsidRDefault="00926C47" w:rsidP="00926C47">
      <w:pPr>
        <w:jc w:val="right"/>
        <w:rPr>
          <w:rFonts w:cs="Arial"/>
          <w:i/>
          <w:color w:val="7F7F7F" w:themeColor="text1" w:themeTint="80"/>
          <w:sz w:val="20"/>
        </w:rPr>
      </w:pPr>
      <w:r w:rsidRPr="00571922">
        <w:rPr>
          <w:rFonts w:cs="Arial"/>
          <w:i/>
          <w:color w:val="7F7F7F" w:themeColor="text1" w:themeTint="80"/>
          <w:sz w:val="20"/>
        </w:rPr>
        <w:t xml:space="preserve">Inspiré d'un article de L.M. Bonneval publié dans le Bulletin vert n°503 de l'APMEP </w:t>
      </w:r>
    </w:p>
    <w:p w:rsidR="00926C47" w:rsidRDefault="00926C47" w:rsidP="00926C47">
      <w:pPr>
        <w:rPr>
          <w:rFonts w:ascii="Arial" w:hAnsi="Arial" w:cs="Arial"/>
        </w:rPr>
      </w:pPr>
    </w:p>
    <w:p w:rsidR="00926C47" w:rsidRDefault="00926C47" w:rsidP="00926C47">
      <w:pPr>
        <w:rPr>
          <w:rFonts w:ascii="Arial" w:hAnsi="Arial" w:cs="Arial"/>
        </w:rPr>
      </w:pPr>
    </w:p>
    <w:p w:rsidR="00926C47" w:rsidRPr="004828C4" w:rsidRDefault="00850A78" w:rsidP="00926C4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139700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6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6C47" w:rsidRPr="003B1847" w:rsidRDefault="00926C47" w:rsidP="00926C4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26C47" w:rsidRDefault="006235FD" w:rsidP="00926C4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26C4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26C47" w:rsidRPr="00074971" w:rsidRDefault="00926C47" w:rsidP="00926C4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68.65pt;margin-top:11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C9ZS0LjAAAADwEAAA8AAABkcnMvZG93bnJl&#13;&#10;di54bWxMT8tqwzAQvBf6D2ILvTXyg9TGsRxC+jiFQpNC6U2xN7aJtTKWYjt/3+2puSwM89iZfD2b&#13;&#10;Tow4uNaSgnARgEAqbdVSreDr8PaUgnBeU6U7S6jgig7Wxf1drrPKTvSJ497XgkPIZVpB432fSenK&#13;&#10;Bo12C9sjMXeyg9Ge4VDLatATh5tORkHwLI1uiT80usdtg+V5fzEK3ic9beLwddydT9vrz2H58b0L&#13;&#10;UanHh/llxWezAuFx9v8O+NvA/aHgYkd7ocqJjnGcxCxVEEU8jAVpmixBHJlJghhkkcvbHcUv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"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926C47" w:rsidRPr="003B1847" w:rsidRDefault="00926C47" w:rsidP="00926C4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26C47" w:rsidRDefault="00926C47" w:rsidP="00926C4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26C47" w:rsidRPr="00074971" w:rsidRDefault="00926C47" w:rsidP="00926C4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926C47" w:rsidRPr="004828C4" w:rsidSect="00926C47">
      <w:footerReference w:type="default" r:id="rId20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FD" w:rsidRDefault="006235FD" w:rsidP="00926C47">
      <w:r>
        <w:separator/>
      </w:r>
    </w:p>
  </w:endnote>
  <w:endnote w:type="continuationSeparator" w:id="0">
    <w:p w:rsidR="006235FD" w:rsidRDefault="006235FD" w:rsidP="0092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47" w:rsidRPr="00FD07D2" w:rsidRDefault="00926C47" w:rsidP="00926C47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FD" w:rsidRDefault="006235FD" w:rsidP="00926C47">
      <w:r>
        <w:separator/>
      </w:r>
    </w:p>
  </w:footnote>
  <w:footnote w:type="continuationSeparator" w:id="0">
    <w:p w:rsidR="006235FD" w:rsidRDefault="006235FD" w:rsidP="0092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6235FD"/>
    <w:rsid w:val="007629A4"/>
    <w:rsid w:val="00850A78"/>
    <w:rsid w:val="00926C47"/>
    <w:rsid w:val="00F55212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25836"/>
  <w15:chartTrackingRefBased/>
  <w15:docId w15:val="{2CB939CF-C385-EE42-AD65-26C0273B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F55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544800893</vt:i4>
      </vt:variant>
      <vt:variant>
        <vt:i4>3036</vt:i4>
      </vt:variant>
      <vt:variant>
        <vt:i4>1025</vt:i4>
      </vt:variant>
      <vt:variant>
        <vt:i4>1</vt:i4>
      </vt:variant>
      <vt:variant>
        <vt:lpwstr>Capture d’écran 2013-04-15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2020-01-27T16:09:00Z</cp:lastPrinted>
  <dcterms:created xsi:type="dcterms:W3CDTF">2020-01-27T16:09:00Z</dcterms:created>
  <dcterms:modified xsi:type="dcterms:W3CDTF">2020-01-27T16:14:00Z</dcterms:modified>
</cp:coreProperties>
</file>