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6B" w:rsidRPr="00587669" w:rsidRDefault="003E7A6B" w:rsidP="003E7A6B">
      <w:pPr>
        <w:spacing w:after="0" w:line="240" w:lineRule="auto"/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bookmarkEnd w:id="0"/>
      <w:r w:rsidRPr="00587669">
        <w:rPr>
          <w:rFonts w:ascii="Comic Sans MS" w:hAnsi="Comic Sans MS" w:cs="Arial"/>
          <w:sz w:val="32"/>
          <w:szCs w:val="32"/>
        </w:rPr>
        <w:t>ANGLES DANS LE TRIANGLE</w:t>
      </w:r>
    </w:p>
    <w:p w:rsidR="003E7A6B" w:rsidRPr="00587669" w:rsidRDefault="003E7A6B" w:rsidP="003E7A6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TP info sur GeoG</w:t>
      </w:r>
      <w:r w:rsidRPr="00587669">
        <w:rPr>
          <w:rFonts w:ascii="Arial" w:hAnsi="Arial" w:cs="Arial"/>
          <w:b/>
          <w:i/>
          <w:sz w:val="20"/>
          <w:szCs w:val="20"/>
        </w:rPr>
        <w:t xml:space="preserve">ebra </w:t>
      </w:r>
    </w:p>
    <w:p w:rsidR="003E7A6B" w:rsidRPr="00BE7332" w:rsidRDefault="003E7A6B" w:rsidP="003E7A6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hyperlink r:id="rId7" w:history="1">
        <w:r w:rsidRPr="00BE7332">
          <w:rPr>
            <w:rStyle w:val="Lienhypertexte"/>
            <w:rFonts w:ascii="Arial" w:hAnsi="Arial" w:cs="Arial"/>
            <w:i/>
            <w:sz w:val="20"/>
            <w:szCs w:val="20"/>
          </w:rPr>
          <w:t>www.geo</w:t>
        </w:r>
        <w:r w:rsidRPr="00BE7332">
          <w:rPr>
            <w:rStyle w:val="Lienhypertexte"/>
            <w:rFonts w:ascii="Arial" w:hAnsi="Arial" w:cs="Arial"/>
            <w:i/>
            <w:sz w:val="20"/>
            <w:szCs w:val="20"/>
          </w:rPr>
          <w:t>g</w:t>
        </w:r>
        <w:r w:rsidRPr="00BE7332">
          <w:rPr>
            <w:rStyle w:val="Lienhypertexte"/>
            <w:rFonts w:ascii="Arial" w:hAnsi="Arial" w:cs="Arial"/>
            <w:i/>
            <w:sz w:val="20"/>
            <w:szCs w:val="20"/>
          </w:rPr>
          <w:t>ebra.org</w:t>
        </w:r>
      </w:hyperlink>
    </w:p>
    <w:p w:rsidR="003E7A6B" w:rsidRDefault="003E7A6B" w:rsidP="003E7A6B">
      <w:pPr>
        <w:spacing w:after="0"/>
        <w:rPr>
          <w:rFonts w:ascii="Arial" w:hAnsi="Arial" w:cs="Arial"/>
          <w:sz w:val="28"/>
          <w:szCs w:val="28"/>
        </w:rPr>
      </w:pPr>
    </w:p>
    <w:p w:rsidR="003E7A6B" w:rsidRPr="002D6423" w:rsidRDefault="003E7A6B" w:rsidP="003E7A6B">
      <w:pPr>
        <w:spacing w:after="0"/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2D6423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Objectifs :</w:t>
      </w:r>
    </w:p>
    <w:p w:rsidR="003E7A6B" w:rsidRPr="002D6423" w:rsidRDefault="003E7A6B" w:rsidP="003E7A6B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  <w:r w:rsidRPr="002D6423">
        <w:rPr>
          <w:rFonts w:ascii="Arial" w:hAnsi="Arial" w:cs="Arial"/>
          <w:i/>
          <w:iCs/>
          <w:color w:val="008000"/>
          <w:sz w:val="20"/>
          <w:szCs w:val="20"/>
        </w:rPr>
        <w:t>Conjecturer les propriétés des angles dans le triangle.</w:t>
      </w:r>
    </w:p>
    <w:p w:rsidR="003E7A6B" w:rsidRDefault="00BE7332" w:rsidP="003E7A6B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4222115</wp:posOffset>
            </wp:positionH>
            <wp:positionV relativeFrom="paragraph">
              <wp:posOffset>33655</wp:posOffset>
            </wp:positionV>
            <wp:extent cx="1940560" cy="133540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6" t="35976" r="43185" b="4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A6B" w:rsidRPr="00EE3066" w:rsidRDefault="003E7A6B" w:rsidP="003E7A6B">
      <w:pPr>
        <w:spacing w:after="0"/>
        <w:rPr>
          <w:rFonts w:ascii="Arial" w:hAnsi="Arial" w:cs="Arial"/>
          <w:sz w:val="28"/>
          <w:szCs w:val="28"/>
        </w:rPr>
      </w:pPr>
      <w:r w:rsidRPr="00EE3066">
        <w:rPr>
          <w:rFonts w:ascii="Arial" w:hAnsi="Arial" w:cs="Arial"/>
          <w:sz w:val="28"/>
          <w:szCs w:val="28"/>
        </w:rPr>
        <w:t>Dans un triangle quelconque</w:t>
      </w:r>
    </w:p>
    <w:p w:rsidR="003E7A6B" w:rsidRPr="00497609" w:rsidRDefault="003E7A6B" w:rsidP="003E7A6B">
      <w:pPr>
        <w:spacing w:after="0"/>
        <w:rPr>
          <w:rFonts w:ascii="Arial" w:hAnsi="Arial" w:cs="Arial"/>
          <w:sz w:val="16"/>
          <w:szCs w:val="16"/>
        </w:rPr>
      </w:pPr>
    </w:p>
    <w:p w:rsidR="003E7A6B" w:rsidRDefault="003E7A6B" w:rsidP="003E7A6B">
      <w:pPr>
        <w:pStyle w:val="Listecouleur-Accent1"/>
        <w:numPr>
          <w:ilvl w:val="0"/>
          <w:numId w:val="1"/>
        </w:numPr>
        <w:spacing w:after="0"/>
        <w:rPr>
          <w:rFonts w:ascii="Arial" w:hAnsi="Arial" w:cs="Arial"/>
        </w:rPr>
      </w:pPr>
      <w:r w:rsidRPr="00BC6490">
        <w:rPr>
          <w:rFonts w:ascii="Arial" w:hAnsi="Arial" w:cs="Arial"/>
        </w:rPr>
        <w:t>Construire un triangle ABC et afficher les mesures de ses angles.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BC6490">
        <w:rPr>
          <w:rFonts w:ascii="Arial" w:hAnsi="Arial" w:cs="Arial"/>
          <w:i/>
          <w:color w:val="365F91"/>
          <w:sz w:val="20"/>
          <w:szCs w:val="20"/>
        </w:rPr>
        <w:t>Noter les trois mesures des angles</w:t>
      </w:r>
      <w:r>
        <w:rPr>
          <w:rFonts w:ascii="Arial" w:hAnsi="Arial" w:cs="Arial"/>
          <w:i/>
          <w:color w:val="365F91"/>
          <w:sz w:val="20"/>
          <w:szCs w:val="20"/>
        </w:rPr>
        <w:t xml:space="preserve"> affichés</w:t>
      </w:r>
      <w:r w:rsidRPr="00BC6490">
        <w:rPr>
          <w:rFonts w:ascii="Arial" w:hAnsi="Arial" w:cs="Arial"/>
          <w:i/>
          <w:color w:val="365F91"/>
          <w:sz w:val="20"/>
          <w:szCs w:val="20"/>
        </w:rPr>
        <w:t>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Calculer</w:t>
      </w: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 la somme de ces mesures.</w:t>
      </w:r>
    </w:p>
    <w:p w:rsidR="003E7A6B" w:rsidRPr="00497609" w:rsidRDefault="003E7A6B" w:rsidP="003E7A6B">
      <w:pPr>
        <w:pStyle w:val="Listecouleur-Accent1"/>
        <w:spacing w:after="0"/>
        <w:rPr>
          <w:rFonts w:ascii="Arial" w:hAnsi="Arial" w:cs="Arial"/>
          <w:sz w:val="16"/>
          <w:szCs w:val="16"/>
        </w:rPr>
      </w:pPr>
    </w:p>
    <w:p w:rsidR="003E7A6B" w:rsidRDefault="003E7A6B" w:rsidP="003E7A6B">
      <w:pPr>
        <w:pStyle w:val="Listecouleur-Accent1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Déplacer les sommets pour observer d’autres triangles.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N</w:t>
      </w: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oter les </w:t>
      </w:r>
      <w:r>
        <w:rPr>
          <w:rFonts w:ascii="Arial" w:hAnsi="Arial" w:cs="Arial"/>
          <w:i/>
          <w:color w:val="365F91"/>
          <w:sz w:val="20"/>
          <w:szCs w:val="20"/>
        </w:rPr>
        <w:t>mesures des angles de chaque triangle et la somme de ces mesures</w:t>
      </w: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 dans un tableau.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BC6490">
        <w:rPr>
          <w:rFonts w:ascii="Arial" w:hAnsi="Arial" w:cs="Arial"/>
          <w:i/>
          <w:color w:val="365F91"/>
          <w:sz w:val="20"/>
          <w:szCs w:val="20"/>
        </w:rPr>
        <w:t>Que peut-on conjecturer sur la somme des angles d’un triangle ? Répondre en rédigeant clairement une propriété de géométrie.</w:t>
      </w:r>
    </w:p>
    <w:p w:rsidR="003E7A6B" w:rsidRDefault="003E7A6B" w:rsidP="003E7A6B">
      <w:pPr>
        <w:pStyle w:val="Listecouleur-Accent1"/>
        <w:spacing w:after="0"/>
        <w:rPr>
          <w:rFonts w:ascii="Arial" w:hAnsi="Arial" w:cs="Arial"/>
        </w:rPr>
      </w:pPr>
    </w:p>
    <w:p w:rsidR="003E7A6B" w:rsidRDefault="003E7A6B" w:rsidP="003E7A6B">
      <w:pPr>
        <w:pStyle w:val="Listecouleur-Accent1"/>
        <w:spacing w:after="0"/>
        <w:rPr>
          <w:rFonts w:ascii="Arial" w:hAnsi="Arial" w:cs="Arial"/>
        </w:rPr>
      </w:pPr>
    </w:p>
    <w:p w:rsidR="003E7A6B" w:rsidRPr="00EE3066" w:rsidRDefault="003E7A6B" w:rsidP="003E7A6B">
      <w:pPr>
        <w:spacing w:after="0"/>
        <w:rPr>
          <w:rFonts w:ascii="Arial" w:hAnsi="Arial" w:cs="Arial"/>
          <w:sz w:val="28"/>
          <w:szCs w:val="28"/>
        </w:rPr>
      </w:pPr>
      <w:r w:rsidRPr="00EE3066">
        <w:rPr>
          <w:rFonts w:ascii="Arial" w:hAnsi="Arial" w:cs="Arial"/>
          <w:sz w:val="28"/>
          <w:szCs w:val="28"/>
        </w:rPr>
        <w:t>Dans un triangle rectangle</w:t>
      </w:r>
    </w:p>
    <w:p w:rsidR="003E7A6B" w:rsidRPr="00497609" w:rsidRDefault="003E7A6B" w:rsidP="003E7A6B">
      <w:pPr>
        <w:spacing w:after="0"/>
        <w:rPr>
          <w:rFonts w:ascii="Arial" w:hAnsi="Arial" w:cs="Arial"/>
          <w:sz w:val="16"/>
          <w:szCs w:val="16"/>
        </w:rPr>
      </w:pPr>
    </w:p>
    <w:p w:rsidR="003E7A6B" w:rsidRPr="00BC6490" w:rsidRDefault="003E7A6B" w:rsidP="003E7A6B">
      <w:pPr>
        <w:pStyle w:val="Listecouleur-Accent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Construire un triangle DEF rectangle en D et afficher les mesures des deux angles autres que l’angle droit.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Noter les </w:t>
      </w:r>
      <w:r>
        <w:rPr>
          <w:rFonts w:ascii="Arial" w:hAnsi="Arial" w:cs="Arial"/>
          <w:i/>
          <w:color w:val="365F91"/>
          <w:sz w:val="20"/>
          <w:szCs w:val="20"/>
        </w:rPr>
        <w:t>deux</w:t>
      </w: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 mesures des angles</w:t>
      </w:r>
      <w:r>
        <w:rPr>
          <w:rFonts w:ascii="Arial" w:hAnsi="Arial" w:cs="Arial"/>
          <w:i/>
          <w:color w:val="365F91"/>
          <w:sz w:val="20"/>
          <w:szCs w:val="20"/>
        </w:rPr>
        <w:t xml:space="preserve"> affichés</w:t>
      </w:r>
      <w:r w:rsidRPr="00BC6490">
        <w:rPr>
          <w:rFonts w:ascii="Arial" w:hAnsi="Arial" w:cs="Arial"/>
          <w:i/>
          <w:color w:val="365F91"/>
          <w:sz w:val="20"/>
          <w:szCs w:val="20"/>
        </w:rPr>
        <w:t>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Calcul</w:t>
      </w:r>
      <w:r w:rsidRPr="00BC6490">
        <w:rPr>
          <w:rFonts w:ascii="Arial" w:hAnsi="Arial" w:cs="Arial"/>
          <w:i/>
          <w:color w:val="365F91"/>
          <w:sz w:val="20"/>
          <w:szCs w:val="20"/>
        </w:rPr>
        <w:t>er la somme de ces mesures.</w:t>
      </w:r>
    </w:p>
    <w:p w:rsidR="003E7A6B" w:rsidRPr="00497609" w:rsidRDefault="003E7A6B" w:rsidP="003E7A6B">
      <w:pPr>
        <w:pStyle w:val="Listecouleur-Accent1"/>
        <w:spacing w:after="0"/>
        <w:rPr>
          <w:rFonts w:ascii="Arial" w:hAnsi="Arial" w:cs="Arial"/>
          <w:sz w:val="16"/>
          <w:szCs w:val="16"/>
        </w:rPr>
      </w:pPr>
    </w:p>
    <w:p w:rsidR="003E7A6B" w:rsidRDefault="003E7A6B" w:rsidP="003E7A6B">
      <w:pPr>
        <w:pStyle w:val="Listecouleur-Accent1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Déplacer les sommets pour observer d’autres triangles.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N</w:t>
      </w:r>
      <w:r w:rsidRPr="00BC6490">
        <w:rPr>
          <w:rFonts w:ascii="Arial" w:hAnsi="Arial" w:cs="Arial"/>
          <w:i/>
          <w:color w:val="365F91"/>
          <w:sz w:val="20"/>
          <w:szCs w:val="20"/>
        </w:rPr>
        <w:t>oter les résultats dans un tableau.</w:t>
      </w:r>
    </w:p>
    <w:p w:rsidR="003E7A6B" w:rsidRPr="00BC6490" w:rsidRDefault="003E7A6B" w:rsidP="003E7A6B">
      <w:pPr>
        <w:pStyle w:val="Listecouleur-Accent1"/>
        <w:numPr>
          <w:ilvl w:val="0"/>
          <w:numId w:val="3"/>
        </w:numPr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BC6490">
        <w:rPr>
          <w:rFonts w:ascii="Arial" w:hAnsi="Arial" w:cs="Arial"/>
          <w:i/>
          <w:color w:val="365F91"/>
          <w:sz w:val="20"/>
          <w:szCs w:val="20"/>
        </w:rPr>
        <w:t xml:space="preserve">Que peut-on conjecturer sur la somme des angles </w:t>
      </w:r>
      <w:r>
        <w:rPr>
          <w:rFonts w:ascii="Arial" w:hAnsi="Arial" w:cs="Arial"/>
          <w:i/>
          <w:color w:val="365F91"/>
          <w:sz w:val="20"/>
          <w:szCs w:val="20"/>
        </w:rPr>
        <w:t xml:space="preserve">reposant sur l’hypoténuse </w:t>
      </w:r>
      <w:r w:rsidRPr="00BC6490">
        <w:rPr>
          <w:rFonts w:ascii="Arial" w:hAnsi="Arial" w:cs="Arial"/>
          <w:i/>
          <w:color w:val="365F91"/>
          <w:sz w:val="20"/>
          <w:szCs w:val="20"/>
        </w:rPr>
        <w:t>d’un triangle </w:t>
      </w:r>
      <w:r>
        <w:rPr>
          <w:rFonts w:ascii="Arial" w:hAnsi="Arial" w:cs="Arial"/>
          <w:i/>
          <w:color w:val="365F91"/>
          <w:sz w:val="20"/>
          <w:szCs w:val="20"/>
        </w:rPr>
        <w:t xml:space="preserve">rectangle </w:t>
      </w:r>
      <w:r w:rsidRPr="00BC6490">
        <w:rPr>
          <w:rFonts w:ascii="Arial" w:hAnsi="Arial" w:cs="Arial"/>
          <w:i/>
          <w:color w:val="365F91"/>
          <w:sz w:val="20"/>
          <w:szCs w:val="20"/>
        </w:rPr>
        <w:t>? Répondre en rédigeant clairement une propriété de géométrie.</w:t>
      </w:r>
    </w:p>
    <w:p w:rsidR="003E7A6B" w:rsidRDefault="003E7A6B" w:rsidP="003E7A6B">
      <w:pPr>
        <w:pStyle w:val="Listecouleur-Accent1"/>
        <w:spacing w:after="0"/>
        <w:rPr>
          <w:rFonts w:ascii="Arial" w:hAnsi="Arial" w:cs="Arial"/>
        </w:rPr>
      </w:pPr>
    </w:p>
    <w:p w:rsidR="003E7A6B" w:rsidRPr="00BC6490" w:rsidRDefault="003E7A6B" w:rsidP="003E7A6B">
      <w:pPr>
        <w:pStyle w:val="Listecouleur-Accent1"/>
        <w:spacing w:after="0"/>
        <w:rPr>
          <w:rFonts w:ascii="Arial" w:hAnsi="Arial" w:cs="Arial"/>
        </w:rPr>
      </w:pPr>
    </w:p>
    <w:p w:rsidR="003E7A6B" w:rsidRPr="00EE3066" w:rsidRDefault="003E7A6B" w:rsidP="003E7A6B">
      <w:pPr>
        <w:spacing w:after="0"/>
        <w:rPr>
          <w:rFonts w:ascii="Arial" w:hAnsi="Arial" w:cs="Arial"/>
          <w:sz w:val="28"/>
          <w:szCs w:val="28"/>
        </w:rPr>
      </w:pPr>
      <w:r w:rsidRPr="00EE3066">
        <w:rPr>
          <w:rFonts w:ascii="Arial" w:hAnsi="Arial" w:cs="Arial"/>
          <w:sz w:val="28"/>
          <w:szCs w:val="28"/>
        </w:rPr>
        <w:t>Dans un triangle équilatéral</w:t>
      </w:r>
    </w:p>
    <w:p w:rsidR="003E7A6B" w:rsidRPr="00497609" w:rsidRDefault="003E7A6B" w:rsidP="003E7A6B">
      <w:pPr>
        <w:spacing w:after="0"/>
        <w:rPr>
          <w:rFonts w:ascii="Arial" w:hAnsi="Arial" w:cs="Arial"/>
          <w:sz w:val="16"/>
          <w:szCs w:val="16"/>
        </w:rPr>
      </w:pPr>
    </w:p>
    <w:p w:rsidR="003E7A6B" w:rsidRDefault="003E7A6B" w:rsidP="003E7A6B">
      <w:pPr>
        <w:pStyle w:val="Listecouleur-Accent1"/>
        <w:spacing w:after="0"/>
        <w:rPr>
          <w:rFonts w:ascii="Arial" w:hAnsi="Arial" w:cs="Arial"/>
        </w:rPr>
      </w:pPr>
      <w:r>
        <w:rPr>
          <w:rFonts w:ascii="Arial" w:hAnsi="Arial" w:cs="Arial"/>
        </w:rPr>
        <w:t>A l’aide du logiciel de géométrie, réaliser un triangle équilatéral et conjecturer une propriété concernant les angles d’un triangle équilatéral.</w:t>
      </w:r>
    </w:p>
    <w:p w:rsidR="003E7A6B" w:rsidRPr="00EE3066" w:rsidRDefault="003E7A6B" w:rsidP="003E7A6B">
      <w:pPr>
        <w:pStyle w:val="Listecouleur-Accent1"/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EE3066">
        <w:rPr>
          <w:rFonts w:ascii="Arial" w:hAnsi="Arial" w:cs="Arial"/>
          <w:i/>
          <w:color w:val="365F91"/>
          <w:sz w:val="20"/>
          <w:szCs w:val="20"/>
        </w:rPr>
        <w:t>Rédiger clairement la propriété.</w:t>
      </w:r>
    </w:p>
    <w:p w:rsidR="003E7A6B" w:rsidRDefault="003E7A6B" w:rsidP="003E7A6B">
      <w:pPr>
        <w:spacing w:after="0"/>
        <w:rPr>
          <w:rFonts w:ascii="Arial" w:hAnsi="Arial" w:cs="Arial"/>
        </w:rPr>
      </w:pPr>
    </w:p>
    <w:p w:rsidR="003E7A6B" w:rsidRDefault="003E7A6B" w:rsidP="003E7A6B">
      <w:pPr>
        <w:spacing w:after="0"/>
        <w:rPr>
          <w:rFonts w:ascii="Arial" w:hAnsi="Arial" w:cs="Arial"/>
        </w:rPr>
      </w:pPr>
    </w:p>
    <w:p w:rsidR="003E7A6B" w:rsidRPr="00EE3066" w:rsidRDefault="003E7A6B" w:rsidP="003E7A6B">
      <w:pPr>
        <w:spacing w:after="0"/>
        <w:rPr>
          <w:rFonts w:ascii="Arial" w:hAnsi="Arial" w:cs="Arial"/>
          <w:sz w:val="28"/>
          <w:szCs w:val="28"/>
        </w:rPr>
      </w:pPr>
      <w:r w:rsidRPr="00EE3066">
        <w:rPr>
          <w:rFonts w:ascii="Arial" w:hAnsi="Arial" w:cs="Arial"/>
          <w:sz w:val="28"/>
          <w:szCs w:val="28"/>
        </w:rPr>
        <w:t>Dans un triangle isocèle</w:t>
      </w:r>
    </w:p>
    <w:p w:rsidR="003E7A6B" w:rsidRPr="00497609" w:rsidRDefault="003E7A6B" w:rsidP="003E7A6B">
      <w:pPr>
        <w:spacing w:after="0"/>
        <w:rPr>
          <w:rFonts w:ascii="Arial" w:hAnsi="Arial" w:cs="Arial"/>
          <w:sz w:val="16"/>
          <w:szCs w:val="16"/>
        </w:rPr>
      </w:pPr>
    </w:p>
    <w:p w:rsidR="003E7A6B" w:rsidRDefault="003E7A6B" w:rsidP="003E7A6B">
      <w:pPr>
        <w:pStyle w:val="Listecouleur-Accent1"/>
        <w:spacing w:after="0"/>
        <w:rPr>
          <w:rFonts w:ascii="Arial" w:hAnsi="Arial" w:cs="Arial"/>
        </w:rPr>
      </w:pPr>
      <w:r>
        <w:rPr>
          <w:rFonts w:ascii="Arial" w:hAnsi="Arial" w:cs="Arial"/>
        </w:rPr>
        <w:t>A l’aide du logiciel de géométrie, réaliser un triangle isocèle et conjecturer une propriété concernant les angles à la base d’un triangle isocèle.</w:t>
      </w:r>
    </w:p>
    <w:p w:rsidR="003E7A6B" w:rsidRPr="00EE3066" w:rsidRDefault="003E7A6B" w:rsidP="003E7A6B">
      <w:pPr>
        <w:pStyle w:val="Listecouleur-Accent1"/>
        <w:spacing w:after="0"/>
        <w:ind w:left="993" w:hanging="142"/>
        <w:rPr>
          <w:rFonts w:ascii="Arial" w:hAnsi="Arial" w:cs="Arial"/>
          <w:i/>
          <w:color w:val="365F91"/>
          <w:sz w:val="20"/>
          <w:szCs w:val="20"/>
        </w:rPr>
      </w:pPr>
      <w:r w:rsidRPr="00EE3066">
        <w:rPr>
          <w:rFonts w:ascii="Arial" w:hAnsi="Arial" w:cs="Arial"/>
          <w:i/>
          <w:color w:val="365F91"/>
          <w:sz w:val="20"/>
          <w:szCs w:val="20"/>
        </w:rPr>
        <w:t>Rédiger clairement la propriété.</w:t>
      </w:r>
    </w:p>
    <w:p w:rsidR="003E7A6B" w:rsidRDefault="00BE7332" w:rsidP="003E7A6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116840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E7A6B" w:rsidRPr="003B1847" w:rsidRDefault="003E7A6B" w:rsidP="003E7A6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E7A6B" w:rsidRDefault="003E7A6B" w:rsidP="003E7A6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E7A6B" w:rsidRPr="00074971" w:rsidRDefault="003E7A6B" w:rsidP="003E7A6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9.85pt;margin-top:9.2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l/QmfwQAAOs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ll/Qm&#13;&#10;fwQAAOsMAAAOAAAAAAAAAAAAAAAAADoCAABkcnMvZTJvRG9jLnhtbFBLAQItAAoAAAAAAAAAIQDE&#13;&#10;kw7IZhQAAGYUAAAUAAAAAAAAAAAAAAAAAOUGAABkcnMvbWVkaWEvaW1hZ2UxLnBuZ1BLAQItABQA&#13;&#10;BgAIAAAAIQBPaLFd5AAAAA8BAAAPAAAAAAAAAAAAAAAAAH0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E7A6B" w:rsidRPr="003B1847" w:rsidRDefault="003E7A6B" w:rsidP="003E7A6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E7A6B" w:rsidRDefault="003E7A6B" w:rsidP="003E7A6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E7A6B" w:rsidRPr="00074971" w:rsidRDefault="003E7A6B" w:rsidP="003E7A6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E7A6B" w:rsidRPr="00BC6490" w:rsidRDefault="003E7A6B" w:rsidP="003E7A6B">
      <w:pPr>
        <w:spacing w:after="0"/>
        <w:rPr>
          <w:rFonts w:ascii="Arial" w:hAnsi="Arial" w:cs="Arial"/>
        </w:rPr>
      </w:pPr>
    </w:p>
    <w:sectPr w:rsidR="003E7A6B" w:rsidRPr="00BC6490" w:rsidSect="003E7A6B">
      <w:footerReference w:type="default" r:id="rId13"/>
      <w:pgSz w:w="11906" w:h="16838"/>
      <w:pgMar w:top="993" w:right="1133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0C" w:rsidRDefault="00987B0C" w:rsidP="003E7A6B">
      <w:pPr>
        <w:spacing w:after="0" w:line="240" w:lineRule="auto"/>
      </w:pPr>
      <w:r>
        <w:separator/>
      </w:r>
    </w:p>
  </w:endnote>
  <w:endnote w:type="continuationSeparator" w:id="0">
    <w:p w:rsidR="00987B0C" w:rsidRDefault="00987B0C" w:rsidP="003E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A6B" w:rsidRPr="00B425C4" w:rsidRDefault="003E7A6B" w:rsidP="003E7A6B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3E7A6B" w:rsidRDefault="003E7A6B">
    <w:pPr>
      <w:pStyle w:val="Pieddepage"/>
    </w:pPr>
  </w:p>
  <w:p w:rsidR="003E7A6B" w:rsidRDefault="003E7A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0C" w:rsidRDefault="00987B0C" w:rsidP="003E7A6B">
      <w:pPr>
        <w:spacing w:after="0" w:line="240" w:lineRule="auto"/>
      </w:pPr>
      <w:r>
        <w:separator/>
      </w:r>
    </w:p>
  </w:footnote>
  <w:footnote w:type="continuationSeparator" w:id="0">
    <w:p w:rsidR="00987B0C" w:rsidRDefault="00987B0C" w:rsidP="003E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6BA5"/>
    <w:multiLevelType w:val="hybridMultilevel"/>
    <w:tmpl w:val="CFAEF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874AD"/>
    <w:multiLevelType w:val="hybridMultilevel"/>
    <w:tmpl w:val="2A148A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4C83"/>
    <w:multiLevelType w:val="hybridMultilevel"/>
    <w:tmpl w:val="74DECEB0"/>
    <w:lvl w:ilvl="0" w:tplc="D1BA5B8C">
      <w:numFmt w:val="bullet"/>
      <w:lvlText w:val="-"/>
      <w:lvlJc w:val="left"/>
      <w:pPr>
        <w:ind w:left="1920" w:hanging="360"/>
      </w:pPr>
      <w:rPr>
        <w:rFonts w:ascii="Arial" w:eastAsia="Calibri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90"/>
    <w:rsid w:val="003E7A6B"/>
    <w:rsid w:val="00987B0C"/>
    <w:rsid w:val="00B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C48CA0-CDD4-5F4E-B924-046B1A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BC6490"/>
    <w:pPr>
      <w:ind w:left="720"/>
      <w:contextualSpacing/>
    </w:pPr>
  </w:style>
  <w:style w:type="character" w:styleId="Lienhypertexte">
    <w:name w:val="Hyperlink"/>
    <w:basedOn w:val="Policepardfaut"/>
    <w:rsid w:val="0058766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8766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8766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5876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66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66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1512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2</cp:revision>
  <dcterms:created xsi:type="dcterms:W3CDTF">2019-09-10T13:47:00Z</dcterms:created>
  <dcterms:modified xsi:type="dcterms:W3CDTF">2019-09-10T13:47:00Z</dcterms:modified>
</cp:coreProperties>
</file>